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A23E6A" w:rsidRDefault="00A23E6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BB4116" w:rsidRDefault="00BB4116" w:rsidP="00A23E6A">
            <w:pPr>
              <w:rPr>
                <w:rStyle w:val="Firstpagetablebold"/>
              </w:rPr>
            </w:pPr>
            <w:r>
              <w:rPr>
                <w:rStyle w:val="Firstpagetablebold"/>
              </w:rPr>
              <w:t>Council</w:t>
            </w:r>
            <w:r w:rsidR="00A23E6A">
              <w:rPr>
                <w:rStyle w:val="Firstpagetablebold"/>
              </w:rPr>
              <w:t xml:space="preserve"> </w:t>
            </w:r>
            <w:r w:rsidR="00DC3B68">
              <w:rPr>
                <w:rStyle w:val="Firstpagetablebold"/>
              </w:rPr>
              <w:t xml:space="preserve"> </w:t>
            </w:r>
          </w:p>
          <w:p w:rsidR="00A23E6A" w:rsidRDefault="00A23E6A" w:rsidP="00A23E6A">
            <w:pPr>
              <w:rPr>
                <w:rStyle w:val="Firstpagetablebold"/>
              </w:rPr>
            </w:pPr>
            <w:r>
              <w:rPr>
                <w:rStyle w:val="Firstpagetablebold"/>
              </w:rPr>
              <w:t>5 October 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4D29FE" w:rsidP="00B365E3">
            <w:pPr>
              <w:rPr>
                <w:rStyle w:val="Firstpagetablebold"/>
              </w:rPr>
            </w:pPr>
            <w:r>
              <w:rPr>
                <w:rStyle w:val="Firstpagetablebold"/>
              </w:rPr>
              <w:t>Chief Executive</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A23E6A">
            <w:pPr>
              <w:rPr>
                <w:rStyle w:val="Firstpagetablebold"/>
                <w:sz w:val="8"/>
              </w:rPr>
            </w:pPr>
            <w:r>
              <w:rPr>
                <w:rStyle w:val="Firstpagetablebold"/>
              </w:rPr>
              <w:t>D</w:t>
            </w:r>
            <w:r w:rsidRPr="00BB4116">
              <w:rPr>
                <w:rStyle w:val="Firstpagetablebold"/>
              </w:rPr>
              <w:t>ec</w:t>
            </w:r>
            <w:r w:rsidR="00DC3B68">
              <w:rPr>
                <w:rStyle w:val="Firstpagetablebold"/>
              </w:rPr>
              <w:t xml:space="preserve">isions taken </w:t>
            </w:r>
            <w:r w:rsidR="00A23E6A">
              <w:rPr>
                <w:rStyle w:val="Firstpagetablebold"/>
              </w:rPr>
              <w:t>under Part</w:t>
            </w:r>
            <w:r w:rsidR="00B12E70">
              <w:rPr>
                <w:rStyle w:val="Firstpagetablebold"/>
              </w:rPr>
              <w:t xml:space="preserve"> 9.3</w:t>
            </w:r>
            <w:r w:rsidR="00A23E6A">
              <w:rPr>
                <w:rStyle w:val="Firstpagetablebold"/>
              </w:rPr>
              <w:t xml:space="preserve"> o</w:t>
            </w:r>
            <w:r w:rsidRPr="00BB4116">
              <w:rPr>
                <w:rStyle w:val="Firstpagetablebold"/>
              </w:rPr>
              <w:t>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BB4116" w:rsidP="004D46DE">
            <w:r>
              <w:t xml:space="preserve">Council </w:t>
            </w:r>
            <w:r w:rsidR="004D46DE">
              <w:t xml:space="preserve">is </w:t>
            </w:r>
            <w:r w:rsidR="00BD530C">
              <w:t>asked to note the decision</w:t>
            </w:r>
            <w:r>
              <w:t xml:space="preserve"> taken by the </w:t>
            </w:r>
            <w:r w:rsidR="00DB59F5">
              <w:t>Head of Paid Service (Chief Executive)</w:t>
            </w:r>
            <w:r w:rsidR="003D56D2">
              <w:t xml:space="preserve"> </w:t>
            </w:r>
            <w:r w:rsidR="00DC3B68">
              <w:t xml:space="preserve">using the urgency </w:t>
            </w:r>
            <w:r w:rsidR="003D56D2">
              <w:t>powers</w:t>
            </w:r>
            <w:r w:rsidR="00DC3B68">
              <w:t xml:space="preserve"> delegated in </w:t>
            </w:r>
            <w:r w:rsidR="000C3011">
              <w:t xml:space="preserve">Parts 9.3(b) of </w:t>
            </w:r>
            <w:r w:rsidR="00DC3B68">
              <w:t>the Constitution</w:t>
            </w:r>
            <w:r w:rsidR="003D56D2">
              <w:t>.</w:t>
            </w:r>
            <w:r>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4D46DE">
            <w:r>
              <w:rPr>
                <w:rStyle w:val="Firstpagetablebold"/>
              </w:rPr>
              <w:t xml:space="preserve">Recommendation(s): </w:t>
            </w:r>
            <w:r w:rsidR="00DC3B68">
              <w:rPr>
                <w:rStyle w:val="Firstpagetablebold"/>
              </w:rPr>
              <w:t xml:space="preserve">Council </w:t>
            </w:r>
            <w:r w:rsidR="004D46DE">
              <w:rPr>
                <w:rStyle w:val="Firstpagetablebold"/>
              </w:rPr>
              <w:t xml:space="preserve">is </w:t>
            </w:r>
            <w:r>
              <w:rPr>
                <w:rStyle w:val="Firstpagetablebold"/>
              </w:rPr>
              <w:t>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BD530C" w:rsidP="00B365E3">
            <w:r>
              <w:rPr>
                <w:rStyle w:val="Firstpagetablebold"/>
              </w:rPr>
              <w:t>Note the decision</w:t>
            </w:r>
            <w:r w:rsidR="00BB4116">
              <w:rPr>
                <w:rStyle w:val="Firstpagetablebold"/>
              </w:rPr>
              <w:t xml:space="preserve"> taken as set out in the report.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CC2D82">
        <w:tc>
          <w:tcPr>
            <w:tcW w:w="2438" w:type="dxa"/>
            <w:tcBorders>
              <w:top w:val="single" w:sz="8" w:space="0" w:color="000000"/>
              <w:left w:val="single" w:sz="8" w:space="0" w:color="000000"/>
              <w:bottom w:val="single" w:sz="4" w:space="0" w:color="auto"/>
              <w:right w:val="nil"/>
            </w:tcBorders>
            <w:shd w:val="clear" w:color="auto" w:fill="auto"/>
          </w:tcPr>
          <w:p w:rsidR="00CC2D82" w:rsidRPr="00CC2D82" w:rsidRDefault="004D46DE" w:rsidP="00CC2D82">
            <w:pPr>
              <w:rPr>
                <w:rFonts w:eastAsia="Arial Unicode MS"/>
              </w:rPr>
            </w:pPr>
            <w:r>
              <w:rPr>
                <w:rFonts w:eastAsia="Arial Unicode MS"/>
              </w:rPr>
              <w:t>None</w:t>
            </w:r>
          </w:p>
        </w:tc>
        <w:tc>
          <w:tcPr>
            <w:tcW w:w="6406" w:type="dxa"/>
            <w:tcBorders>
              <w:top w:val="single" w:sz="8" w:space="0" w:color="000000"/>
              <w:left w:val="nil"/>
              <w:bottom w:val="single" w:sz="4" w:space="0" w:color="auto"/>
              <w:right w:val="single" w:sz="8" w:space="0" w:color="000000"/>
            </w:tcBorders>
          </w:tcPr>
          <w:p w:rsidR="00CC2D82" w:rsidRPr="00CC2D82" w:rsidRDefault="00CC2D82" w:rsidP="00CC2D82">
            <w:pPr>
              <w:rPr>
                <w:rFonts w:eastAsia="Arial Unicode MS"/>
              </w:rPr>
            </w:pP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Council on </w:t>
      </w:r>
      <w:r w:rsidR="00B365E3">
        <w:t xml:space="preserve">decisions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P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4D46DE" w:rsidRDefault="004D46DE" w:rsidP="005C1B66">
      <w:pPr>
        <w:rPr>
          <w:b/>
        </w:rPr>
      </w:pPr>
    </w:p>
    <w:p w:rsidR="000C3011" w:rsidRPr="005C1B66" w:rsidRDefault="005C1B66" w:rsidP="005C1B66">
      <w:pPr>
        <w:rPr>
          <w:b/>
        </w:rPr>
      </w:pPr>
      <w:r w:rsidRPr="005C1B66">
        <w:rPr>
          <w:b/>
        </w:rPr>
        <w:lastRenderedPageBreak/>
        <w:t>Decisions taken using urgency powers</w:t>
      </w:r>
    </w:p>
    <w:p w:rsidR="00BB4116" w:rsidRPr="00CC2D82" w:rsidRDefault="00BD530C" w:rsidP="00993F51">
      <w:pPr>
        <w:pStyle w:val="ListParagraph"/>
        <w:ind w:left="426" w:hanging="426"/>
      </w:pPr>
      <w:r>
        <w:t>The following decision has</w:t>
      </w:r>
      <w:r w:rsidR="000C3011">
        <w:t xml:space="preserve"> been taken </w:t>
      </w:r>
      <w:r w:rsidR="005C1B66">
        <w:t xml:space="preserve">using urgency powers </w:t>
      </w:r>
      <w:r w:rsidR="000C3011">
        <w:t xml:space="preserve">for which Council would </w:t>
      </w:r>
      <w:r w:rsidR="005C1B66">
        <w:t>otherwise</w:t>
      </w:r>
      <w:r w:rsidR="000C3011">
        <w:t xml:space="preserve"> have been required to give the necessary authority to act</w:t>
      </w:r>
      <w:r>
        <w:t>, in this case by allocating a budget</w:t>
      </w:r>
      <w:r w:rsidR="000C3011">
        <w:t xml:space="preserve">. </w:t>
      </w:r>
      <w:r w:rsidR="00CF05DA">
        <w:t xml:space="preserve">Council </w:t>
      </w:r>
      <w:r w:rsidR="004D46DE">
        <w:t xml:space="preserve">is </w:t>
      </w:r>
      <w:r w:rsidR="00CF05DA">
        <w:t>asked to note th</w:t>
      </w:r>
      <w:r>
        <w:t>is decision</w:t>
      </w:r>
      <w:r w:rsidR="00FF5C70" w:rsidRPr="00FF5C70">
        <w:t>.</w:t>
      </w:r>
    </w:p>
    <w:p w:rsidR="00ED0FD4" w:rsidRDefault="00ED0FD4" w:rsidP="00ED0FD4">
      <w:pPr>
        <w:pStyle w:val="ListParagraph"/>
      </w:pPr>
      <w:r w:rsidRPr="00ED0FD4">
        <w:t>This report does not list all decisions taken by officers in response to the Covid-19 outbreak only those taken by the Head of Paid Service (Chief Executive) using his urgency powe</w:t>
      </w:r>
      <w:r w:rsidR="004D46DE">
        <w:t>rs under the provisions of Part</w:t>
      </w:r>
      <w:r w:rsidRPr="00ED0FD4">
        <w:t xml:space="preserve"> 9.3(b) </w:t>
      </w:r>
      <w:r w:rsidR="004D46DE">
        <w:t>of the Constitution where Council would otherwise have been required to give the necessary authority to act.</w:t>
      </w:r>
      <w:r w:rsidR="00BD530C">
        <w:t xml:space="preserve"> This report does not include the urgent and emergency decisions reported to the Annual Council Meeting on 20 May 2020 or the Council meeting on 20 July 2020.</w:t>
      </w:r>
    </w:p>
    <w:p w:rsidR="00CC2D82" w:rsidRDefault="00CC2D82" w:rsidP="00CC2D82">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CC2D82" w:rsidRPr="00C74FC0" w:rsidTr="00B42AD4">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B42AD4" w:rsidP="00FF5C70">
            <w:pPr>
              <w:pStyle w:val="Normal17"/>
              <w:jc w:val="both"/>
              <w:rPr>
                <w:rFonts w:ascii="Arial Bold" w:hAnsi="Arial Bold"/>
                <w:b/>
                <w:caps/>
              </w:rPr>
            </w:pPr>
            <w:r w:rsidRPr="00B42AD4">
              <w:rPr>
                <w:rFonts w:ascii="Arial Bold" w:hAnsi="Arial Bold"/>
                <w:b/>
                <w:caps/>
              </w:rPr>
              <w:t>Accommodation of rough sleepers at Canterbury House</w:t>
            </w:r>
          </w:p>
        </w:tc>
      </w:tr>
      <w:tr w:rsidR="00CC2D82" w:rsidTr="00B42AD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sidRPr="00C74FC0">
              <w:rPr>
                <w:b/>
                <w:bCs/>
                <w:szCs w:val="22"/>
              </w:rPr>
              <w:t xml:space="preserve">Decision: </w:t>
            </w:r>
          </w:p>
          <w:p w:rsidR="00B42AD4" w:rsidRDefault="00B42AD4" w:rsidP="00B42AD4">
            <w:r>
              <w:t>The decision was taken to:</w:t>
            </w:r>
          </w:p>
          <w:p w:rsidR="00B42AD4" w:rsidRDefault="00B42AD4" w:rsidP="00B42AD4">
            <w:r>
              <w:t>1.</w:t>
            </w:r>
            <w:r>
              <w:tab/>
              <w:t>Approve that a letter of intent be sent to A2Dominion for the use of Canterbury House for 50 weeks from 3 August 2020 by way of a management agreement between St Mungo’s and A2D, with the Council undertaking to enter into an agreement with St Mungo’s for this work and complete a full agreement by 17 July 2020.</w:t>
            </w:r>
          </w:p>
          <w:p w:rsidR="00CC2D82" w:rsidRDefault="00B42AD4" w:rsidP="00B42AD4">
            <w:r>
              <w:t>2.</w:t>
            </w:r>
            <w:r>
              <w:tab/>
              <w:t>Approve the allocation of a budget £660,486 for this use to be funded from housing benefit income, government grant (if approved) with the remainder from reserves if necessary.</w:t>
            </w:r>
          </w:p>
        </w:tc>
      </w:tr>
      <w:tr w:rsidR="00CC2D82" w:rsidRPr="00C74FC0"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B42AD4" w:rsidP="006D382B">
            <w:pPr>
              <w:pStyle w:val="Normal17"/>
              <w:jc w:val="both"/>
            </w:pPr>
            <w:r w:rsidRPr="00B42AD4">
              <w:t>10 July 2020</w:t>
            </w:r>
          </w:p>
        </w:tc>
      </w:tr>
      <w:tr w:rsidR="00CC2D82" w:rsidRPr="00C74FC0"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Default="005043A3" w:rsidP="006D382B">
            <w:pPr>
              <w:pStyle w:val="Normal17"/>
              <w:jc w:val="both"/>
              <w:rPr>
                <w:bdr w:val="nil"/>
              </w:rPr>
            </w:pPr>
            <w:r>
              <w:rPr>
                <w:bdr w:val="nil"/>
              </w:rPr>
              <w:t>Head of Paid Service (</w:t>
            </w:r>
            <w:r w:rsidR="00CC2D82">
              <w:rPr>
                <w:bdr w:val="nil"/>
              </w:rPr>
              <w:t>Chief Executive</w:t>
            </w:r>
            <w:r>
              <w:rPr>
                <w:bdr w:val="nil"/>
              </w:rPr>
              <w:t>)</w:t>
            </w:r>
          </w:p>
          <w:p w:rsidR="00B42AD4" w:rsidRDefault="00B42AD4" w:rsidP="006D382B">
            <w:pPr>
              <w:pStyle w:val="Normal17"/>
              <w:jc w:val="both"/>
              <w:rPr>
                <w:bdr w:val="nil"/>
              </w:rPr>
            </w:pPr>
          </w:p>
          <w:p w:rsidR="00B42AD4" w:rsidRPr="00C74FC0" w:rsidRDefault="00B42AD4" w:rsidP="006D382B">
            <w:pPr>
              <w:pStyle w:val="Normal17"/>
              <w:jc w:val="both"/>
            </w:pPr>
            <w:r w:rsidRPr="00B42AD4">
              <w:t>Decision taken in consultation with the Cabinet Member for Affordable Housing.</w:t>
            </w:r>
          </w:p>
        </w:tc>
      </w:tr>
      <w:tr w:rsidR="005043A3" w:rsidRPr="00C74FC0" w:rsidTr="00B42AD4">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5043A3" w:rsidRPr="005043A3" w:rsidRDefault="005043A3" w:rsidP="005043A3">
            <w:pPr>
              <w:spacing w:before="120"/>
              <w:rPr>
                <w:rFonts w:cs="Arial"/>
                <w:sz w:val="22"/>
                <w:szCs w:val="22"/>
              </w:rPr>
            </w:pPr>
            <w:r w:rsidRPr="005043A3">
              <w:rPr>
                <w:rFonts w:cs="Arial"/>
                <w:b/>
                <w:sz w:val="22"/>
                <w:szCs w:val="22"/>
              </w:rPr>
              <w:t>Was the decision taken under emergency or urgency rules?</w:t>
            </w:r>
          </w:p>
        </w:tc>
        <w:tc>
          <w:tcPr>
            <w:tcW w:w="5387" w:type="dxa"/>
            <w:shd w:val="clear" w:color="auto" w:fill="auto"/>
          </w:tcPr>
          <w:p w:rsidR="00BD530C" w:rsidRPr="00BD530C" w:rsidRDefault="00BD530C" w:rsidP="00FF5C70">
            <w:pPr>
              <w:rPr>
                <w:rFonts w:cs="Arial"/>
                <w:sz w:val="16"/>
                <w:szCs w:val="16"/>
              </w:rPr>
            </w:pPr>
          </w:p>
          <w:p w:rsidR="005043A3" w:rsidRPr="005043A3" w:rsidRDefault="00FF5C70" w:rsidP="00FF5C70">
            <w:pPr>
              <w:rPr>
                <w:rFonts w:cs="Arial"/>
                <w:sz w:val="22"/>
                <w:szCs w:val="22"/>
              </w:rPr>
            </w:pPr>
            <w:r>
              <w:rPr>
                <w:rFonts w:cs="Arial"/>
                <w:sz w:val="22"/>
                <w:szCs w:val="22"/>
              </w:rPr>
              <w:t>Urgency</w:t>
            </w:r>
            <w:r w:rsidR="005043A3">
              <w:rPr>
                <w:rFonts w:cs="Arial"/>
                <w:sz w:val="22"/>
                <w:szCs w:val="22"/>
              </w:rPr>
              <w:t xml:space="preserve"> – Constitution Part </w:t>
            </w:r>
            <w:r w:rsidR="00D23270">
              <w:rPr>
                <w:rFonts w:cs="Arial"/>
                <w:sz w:val="22"/>
                <w:szCs w:val="22"/>
              </w:rPr>
              <w:t>9.3(</w:t>
            </w:r>
            <w:r>
              <w:rPr>
                <w:rFonts w:cs="Arial"/>
                <w:sz w:val="22"/>
                <w:szCs w:val="22"/>
              </w:rPr>
              <w:t>b</w:t>
            </w:r>
            <w:r w:rsidR="005043A3">
              <w:rPr>
                <w:rFonts w:cs="Arial"/>
                <w:sz w:val="22"/>
                <w:szCs w:val="22"/>
              </w:rPr>
              <w:t>)</w:t>
            </w:r>
          </w:p>
        </w:tc>
      </w:tr>
      <w:tr w:rsidR="00CC2D82" w:rsidRPr="00C74FC0"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5043A3" w:rsidP="006D382B">
            <w:pPr>
              <w:pStyle w:val="Normal17"/>
              <w:jc w:val="both"/>
              <w:rPr>
                <w:b/>
                <w:bCs/>
                <w:szCs w:val="22"/>
              </w:rPr>
            </w:pPr>
            <w:r>
              <w:rPr>
                <w:b/>
                <w:bCs/>
                <w:szCs w:val="22"/>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Default="00B42AD4" w:rsidP="006D382B">
            <w:pPr>
              <w:pStyle w:val="Normal17"/>
              <w:jc w:val="both"/>
              <w:rPr>
                <w:bCs/>
                <w:szCs w:val="22"/>
              </w:rPr>
            </w:pPr>
            <w:r w:rsidRPr="00B42AD4">
              <w:rPr>
                <w:bCs/>
                <w:szCs w:val="22"/>
              </w:rPr>
              <w:t>Key (expenditure of &gt;£500k)</w:t>
            </w:r>
          </w:p>
          <w:p w:rsidR="00BD530C" w:rsidRDefault="00BD530C" w:rsidP="006D382B">
            <w:pPr>
              <w:pStyle w:val="Normal17"/>
              <w:jc w:val="both"/>
              <w:rPr>
                <w:bCs/>
                <w:szCs w:val="22"/>
              </w:rPr>
            </w:pPr>
          </w:p>
          <w:p w:rsidR="00BD530C" w:rsidRPr="00C74FC0" w:rsidRDefault="00BD530C" w:rsidP="006D382B">
            <w:pPr>
              <w:pStyle w:val="Normal17"/>
              <w:jc w:val="both"/>
              <w:rPr>
                <w:bCs/>
                <w:szCs w:val="22"/>
              </w:rPr>
            </w:pPr>
            <w:r>
              <w:rPr>
                <w:bCs/>
                <w:szCs w:val="22"/>
              </w:rPr>
              <w:t>The Chair of the Scrutiny Committee agreed to the taking of an urgent key decision that had not been notified on the Forward Plan.</w:t>
            </w:r>
          </w:p>
        </w:tc>
      </w:tr>
      <w:tr w:rsidR="005043A3"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C74FC0" w:rsidRDefault="005043A3" w:rsidP="006D382B">
            <w:pPr>
              <w:pStyle w:val="Normal17"/>
              <w:jc w:val="both"/>
              <w:rPr>
                <w:b/>
                <w:bCs/>
                <w:szCs w:val="22"/>
              </w:rPr>
            </w:pPr>
            <w:r>
              <w:rPr>
                <w:b/>
                <w:bCs/>
                <w:szCs w:val="22"/>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043A3" w:rsidRPr="005043A3" w:rsidRDefault="00B42AD4" w:rsidP="00F327C8">
            <w:pPr>
              <w:rPr>
                <w:rFonts w:cs="Arial"/>
                <w:sz w:val="22"/>
                <w:szCs w:val="22"/>
              </w:rPr>
            </w:pPr>
            <w:r w:rsidRPr="00B42AD4">
              <w:rPr>
                <w:rFonts w:cs="Arial"/>
                <w:sz w:val="22"/>
                <w:szCs w:val="22"/>
              </w:rPr>
              <w:t>The Council ha</w:t>
            </w:r>
            <w:r w:rsidR="00F327C8">
              <w:rPr>
                <w:rFonts w:cs="Arial"/>
                <w:sz w:val="22"/>
                <w:szCs w:val="22"/>
              </w:rPr>
              <w:t>d</w:t>
            </w:r>
            <w:r w:rsidRPr="00B42AD4">
              <w:rPr>
                <w:rFonts w:cs="Arial"/>
                <w:sz w:val="22"/>
                <w:szCs w:val="22"/>
              </w:rPr>
              <w:t xml:space="preserve"> been seeking interim accommoda</w:t>
            </w:r>
            <w:r w:rsidR="00F327C8">
              <w:rPr>
                <w:rFonts w:cs="Arial"/>
                <w:sz w:val="22"/>
                <w:szCs w:val="22"/>
              </w:rPr>
              <w:t>tion for homeless people who had</w:t>
            </w:r>
            <w:r w:rsidRPr="00B42AD4">
              <w:rPr>
                <w:rFonts w:cs="Arial"/>
                <w:sz w:val="22"/>
                <w:szCs w:val="22"/>
              </w:rPr>
              <w:t xml:space="preserve"> been housed as part of the response to the COVID-19 pandemic.  The </w:t>
            </w:r>
            <w:r w:rsidR="00F327C8">
              <w:rPr>
                <w:rFonts w:cs="Arial"/>
                <w:sz w:val="22"/>
                <w:szCs w:val="22"/>
              </w:rPr>
              <w:t>previous</w:t>
            </w:r>
            <w:r w:rsidRPr="00B42AD4">
              <w:rPr>
                <w:rFonts w:cs="Arial"/>
                <w:sz w:val="22"/>
                <w:szCs w:val="22"/>
              </w:rPr>
              <w:t xml:space="preserve"> arrangements </w:t>
            </w:r>
            <w:r w:rsidR="00F327C8">
              <w:rPr>
                <w:rFonts w:cs="Arial"/>
                <w:sz w:val="22"/>
                <w:szCs w:val="22"/>
              </w:rPr>
              <w:t>we</w:t>
            </w:r>
            <w:r w:rsidRPr="00B42AD4">
              <w:rPr>
                <w:rFonts w:cs="Arial"/>
                <w:sz w:val="22"/>
                <w:szCs w:val="22"/>
              </w:rPr>
              <w:t>re short term at significant nightly cost.  Student accommodation ha</w:t>
            </w:r>
            <w:r w:rsidR="00F327C8">
              <w:rPr>
                <w:rFonts w:cs="Arial"/>
                <w:sz w:val="22"/>
                <w:szCs w:val="22"/>
              </w:rPr>
              <w:t>d</w:t>
            </w:r>
            <w:r w:rsidRPr="00B42AD4">
              <w:rPr>
                <w:rFonts w:cs="Arial"/>
                <w:sz w:val="22"/>
                <w:szCs w:val="22"/>
              </w:rPr>
              <w:t xml:space="preserve"> been identified which could be made ava</w:t>
            </w:r>
            <w:r w:rsidR="00F327C8">
              <w:rPr>
                <w:rFonts w:cs="Arial"/>
                <w:sz w:val="22"/>
                <w:szCs w:val="22"/>
              </w:rPr>
              <w:t>ilable, but an urgent decision wa</w:t>
            </w:r>
            <w:r w:rsidRPr="00B42AD4">
              <w:rPr>
                <w:rFonts w:cs="Arial"/>
                <w:sz w:val="22"/>
                <w:szCs w:val="22"/>
              </w:rPr>
              <w:t>s required to secure its use</w:t>
            </w:r>
            <w:r w:rsidR="00F327C8">
              <w:rPr>
                <w:rFonts w:cs="Arial"/>
                <w:sz w:val="22"/>
                <w:szCs w:val="22"/>
              </w:rPr>
              <w:t>.</w:t>
            </w:r>
          </w:p>
        </w:tc>
      </w:tr>
      <w:tr w:rsidR="00CC2D82"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42AD4" w:rsidRPr="00B42AD4" w:rsidRDefault="00B42AD4" w:rsidP="00B42AD4">
            <w:pPr>
              <w:rPr>
                <w:sz w:val="22"/>
                <w:szCs w:val="22"/>
              </w:rPr>
            </w:pPr>
            <w:r w:rsidRPr="00B42AD4">
              <w:rPr>
                <w:sz w:val="22"/>
                <w:szCs w:val="22"/>
              </w:rPr>
              <w:t xml:space="preserve">An extensive search for properties to accommodate rough sleepers was undertaken in the city to secure up to 120 rooms.  Ideally it would </w:t>
            </w:r>
            <w:r w:rsidR="00F327C8">
              <w:rPr>
                <w:sz w:val="22"/>
                <w:szCs w:val="22"/>
              </w:rPr>
              <w:t xml:space="preserve">have </w:t>
            </w:r>
            <w:r w:rsidRPr="00B42AD4">
              <w:rPr>
                <w:sz w:val="22"/>
                <w:szCs w:val="22"/>
              </w:rPr>
              <w:t>be</w:t>
            </w:r>
            <w:r w:rsidR="00F327C8">
              <w:rPr>
                <w:sz w:val="22"/>
                <w:szCs w:val="22"/>
              </w:rPr>
              <w:t>en</w:t>
            </w:r>
            <w:r w:rsidRPr="00B42AD4">
              <w:rPr>
                <w:sz w:val="22"/>
                <w:szCs w:val="22"/>
              </w:rPr>
              <w:t xml:space="preserve"> on no more than two sites to allow for effecti</w:t>
            </w:r>
            <w:r w:rsidR="00F327C8">
              <w:rPr>
                <w:sz w:val="22"/>
                <w:szCs w:val="22"/>
              </w:rPr>
              <w:t>ve management.  The YHA Oxford wa</w:t>
            </w:r>
            <w:r w:rsidRPr="00B42AD4">
              <w:rPr>
                <w:sz w:val="22"/>
                <w:szCs w:val="22"/>
              </w:rPr>
              <w:t>s available for 9 months up to the en</w:t>
            </w:r>
            <w:r>
              <w:rPr>
                <w:sz w:val="22"/>
                <w:szCs w:val="22"/>
              </w:rPr>
              <w:t xml:space="preserve">d of March providing 41 rooms. </w:t>
            </w:r>
          </w:p>
          <w:p w:rsidR="00CC2D82" w:rsidRPr="005043A3" w:rsidRDefault="00B42AD4" w:rsidP="00F327C8">
            <w:pPr>
              <w:rPr>
                <w:sz w:val="22"/>
                <w:szCs w:val="22"/>
              </w:rPr>
            </w:pPr>
            <w:r w:rsidRPr="00B42AD4">
              <w:rPr>
                <w:sz w:val="22"/>
                <w:szCs w:val="22"/>
              </w:rPr>
              <w:lastRenderedPageBreak/>
              <w:t>Two individual houses were offered by Colleges and some rooms in Commonwealth House were tentatively offered, but th</w:t>
            </w:r>
            <w:r w:rsidR="00F327C8">
              <w:rPr>
                <w:sz w:val="22"/>
                <w:szCs w:val="22"/>
              </w:rPr>
              <w:t>e accommodation did not have en</w:t>
            </w:r>
            <w:r w:rsidRPr="00B42AD4">
              <w:rPr>
                <w:sz w:val="22"/>
                <w:szCs w:val="22"/>
              </w:rPr>
              <w:t xml:space="preserve">suite facilities, </w:t>
            </w:r>
            <w:r w:rsidR="00F327C8">
              <w:rPr>
                <w:sz w:val="22"/>
                <w:szCs w:val="22"/>
              </w:rPr>
              <w:t>did</w:t>
            </w:r>
            <w:r w:rsidRPr="00B42AD4">
              <w:rPr>
                <w:sz w:val="22"/>
                <w:szCs w:val="22"/>
              </w:rPr>
              <w:t xml:space="preserve"> not offer enough rooms to avoid the use of hotels, and would </w:t>
            </w:r>
            <w:r w:rsidR="00F327C8">
              <w:rPr>
                <w:sz w:val="22"/>
                <w:szCs w:val="22"/>
              </w:rPr>
              <w:t xml:space="preserve">have </w:t>
            </w:r>
            <w:r w:rsidRPr="00B42AD4">
              <w:rPr>
                <w:sz w:val="22"/>
                <w:szCs w:val="22"/>
              </w:rPr>
              <w:t>be</w:t>
            </w:r>
            <w:r w:rsidR="00F327C8">
              <w:rPr>
                <w:sz w:val="22"/>
                <w:szCs w:val="22"/>
              </w:rPr>
              <w:t>en</w:t>
            </w:r>
            <w:r w:rsidRPr="00B42AD4">
              <w:rPr>
                <w:sz w:val="22"/>
                <w:szCs w:val="22"/>
              </w:rPr>
              <w:t xml:space="preserve"> difficult to manage with</w:t>
            </w:r>
            <w:r w:rsidR="00F327C8">
              <w:rPr>
                <w:sz w:val="22"/>
                <w:szCs w:val="22"/>
              </w:rPr>
              <w:t xml:space="preserve"> staff having to work between a </w:t>
            </w:r>
            <w:r w:rsidRPr="00B42AD4">
              <w:rPr>
                <w:sz w:val="22"/>
                <w:szCs w:val="22"/>
              </w:rPr>
              <w:t>number of small sites.</w:t>
            </w:r>
          </w:p>
        </w:tc>
      </w:tr>
      <w:tr w:rsidR="00CC2D82" w:rsidRPr="00C74FC0"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lastRenderedPageBreak/>
              <w:t>Wards</w:t>
            </w:r>
            <w:r w:rsidR="005043A3">
              <w:rPr>
                <w:b/>
                <w:bCs/>
                <w:szCs w:val="22"/>
              </w:rPr>
              <w:t xml:space="preserve"> significantly</w:t>
            </w:r>
            <w:r w:rsidRPr="00C74FC0">
              <w:rPr>
                <w:b/>
                <w:bCs/>
                <w:szCs w:val="22"/>
              </w:rPr>
              <w:t xml:space="preserve">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B42AD4" w:rsidP="006D382B">
            <w:pPr>
              <w:pStyle w:val="Normal17"/>
              <w:jc w:val="both"/>
            </w:pPr>
            <w:r>
              <w:t>Cowley Marsh</w:t>
            </w:r>
          </w:p>
        </w:tc>
      </w:tr>
      <w:tr w:rsidR="00CC2D82" w:rsidRPr="00C74FC0" w:rsidTr="00B42AD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sidRPr="00C74FC0">
              <w:t>None</w:t>
            </w:r>
          </w:p>
        </w:tc>
      </w:tr>
    </w:tbl>
    <w:p w:rsidR="005C1B66" w:rsidRDefault="005C1B66" w:rsidP="000C3011">
      <w:pPr>
        <w:pStyle w:val="ListParagraph"/>
        <w:numPr>
          <w:ilvl w:val="0"/>
          <w:numId w:val="0"/>
        </w:numPr>
        <w:ind w:left="426"/>
      </w:pPr>
      <w:bookmarkStart w:id="0" w:name="_GoBack"/>
      <w:bookmarkEnd w:id="0"/>
    </w:p>
    <w:p w:rsidR="00B365E3" w:rsidRDefault="00B365E3" w:rsidP="00B365E3">
      <w:pPr>
        <w:pStyle w:val="Heading1"/>
      </w:pPr>
      <w:r>
        <w:t>Financial issues</w:t>
      </w:r>
    </w:p>
    <w:p w:rsidR="00B365E3" w:rsidRDefault="00D35A7A" w:rsidP="00993F51">
      <w:pPr>
        <w:pStyle w:val="ListParagraph"/>
        <w:ind w:left="426" w:hanging="426"/>
      </w:pPr>
      <w:r>
        <w:t>There are no financial issues arising beyond those set out in the documents att</w:t>
      </w:r>
      <w:r w:rsidR="00B42AD4">
        <w:t>ached to the published decision notice</w:t>
      </w:r>
      <w:r>
        <w: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w:t>
      </w:r>
      <w:r>
        <w:t>powers</w:t>
      </w:r>
      <w:r w:rsidR="00DB59F5">
        <w:t xml:space="preserve"> of the Head of Paid Service (Chief Executive)</w:t>
      </w:r>
      <w:r>
        <w:t xml:space="preserve"> are set out in the Constitution. </w:t>
      </w:r>
    </w:p>
    <w:p w:rsidR="00B12E70" w:rsidRDefault="00B12E70" w:rsidP="009B76B7">
      <w:pPr>
        <w:pStyle w:val="ListParagraph"/>
        <w:numPr>
          <w:ilvl w:val="0"/>
          <w:numId w:val="0"/>
        </w:numPr>
        <w:spacing w:after="0"/>
        <w:ind w:left="720"/>
      </w:pPr>
    </w:p>
    <w:p w:rsidR="00CB2FF8" w:rsidRPr="001356F1" w:rsidRDefault="00CB2FF8"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0A" w:rsidRDefault="0099330A" w:rsidP="00BB4116">
      <w:r>
        <w:separator/>
      </w:r>
    </w:p>
    <w:p w:rsidR="0099330A" w:rsidRDefault="0099330A" w:rsidP="00BB4116"/>
  </w:endnote>
  <w:endnote w:type="continuationSeparator" w:id="0">
    <w:p w:rsidR="0099330A" w:rsidRDefault="0099330A" w:rsidP="00BB4116">
      <w:r>
        <w:continuationSeparator/>
      </w:r>
    </w:p>
    <w:p w:rsidR="0099330A" w:rsidRDefault="0099330A"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0A" w:rsidRDefault="0099330A" w:rsidP="00BB4116">
      <w:r>
        <w:separator/>
      </w:r>
    </w:p>
    <w:p w:rsidR="0099330A" w:rsidRDefault="0099330A" w:rsidP="00BB4116"/>
  </w:footnote>
  <w:footnote w:type="continuationSeparator" w:id="0">
    <w:p w:rsidR="0099330A" w:rsidRDefault="0099330A" w:rsidP="00BB4116">
      <w:r>
        <w:continuationSeparator/>
      </w:r>
    </w:p>
    <w:p w:rsidR="0099330A" w:rsidRDefault="0099330A"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C3011"/>
    <w:rsid w:val="001D1097"/>
    <w:rsid w:val="0026383C"/>
    <w:rsid w:val="00286CF6"/>
    <w:rsid w:val="003266F2"/>
    <w:rsid w:val="00347BAC"/>
    <w:rsid w:val="00347C6E"/>
    <w:rsid w:val="00371BAC"/>
    <w:rsid w:val="003D56D2"/>
    <w:rsid w:val="0043307F"/>
    <w:rsid w:val="004D29FE"/>
    <w:rsid w:val="004D46DE"/>
    <w:rsid w:val="005043A3"/>
    <w:rsid w:val="00560426"/>
    <w:rsid w:val="005C1B66"/>
    <w:rsid w:val="006E23EA"/>
    <w:rsid w:val="0076343A"/>
    <w:rsid w:val="007D79E8"/>
    <w:rsid w:val="00821101"/>
    <w:rsid w:val="00965120"/>
    <w:rsid w:val="0099330A"/>
    <w:rsid w:val="00993F51"/>
    <w:rsid w:val="009B76B7"/>
    <w:rsid w:val="009C0464"/>
    <w:rsid w:val="00A23E6A"/>
    <w:rsid w:val="00A608BE"/>
    <w:rsid w:val="00B12E70"/>
    <w:rsid w:val="00B30803"/>
    <w:rsid w:val="00B365E3"/>
    <w:rsid w:val="00B42AD4"/>
    <w:rsid w:val="00B946D4"/>
    <w:rsid w:val="00BB4116"/>
    <w:rsid w:val="00BC313A"/>
    <w:rsid w:val="00BD530C"/>
    <w:rsid w:val="00CB1D9E"/>
    <w:rsid w:val="00CB2FF8"/>
    <w:rsid w:val="00CC2D82"/>
    <w:rsid w:val="00CD377E"/>
    <w:rsid w:val="00CF05DA"/>
    <w:rsid w:val="00D23270"/>
    <w:rsid w:val="00D35A7A"/>
    <w:rsid w:val="00DB42E2"/>
    <w:rsid w:val="00DB59F5"/>
    <w:rsid w:val="00DC3B68"/>
    <w:rsid w:val="00ED0FD4"/>
    <w:rsid w:val="00EF4BF4"/>
    <w:rsid w:val="00F327C8"/>
    <w:rsid w:val="00F94AFA"/>
    <w:rsid w:val="00FF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56A2-B7E0-48CE-B291-35474695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E3F0DEA5</Template>
  <TotalTime>53</TotalTime>
  <Pages>3</Pages>
  <Words>783</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4803</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7</cp:revision>
  <cp:lastPrinted>2015-07-24T10:00:00Z</cp:lastPrinted>
  <dcterms:created xsi:type="dcterms:W3CDTF">2020-09-07T12:32:00Z</dcterms:created>
  <dcterms:modified xsi:type="dcterms:W3CDTF">2020-09-08T09:43:00Z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